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7D513F" w:rsidP="00C3687C">
      <w:pPr>
        <w:jc w:val="center"/>
        <w:rPr>
          <w:rFonts w:ascii="Arial" w:hAnsi="Arial" w:cs="Arial"/>
          <w:b/>
          <w:sz w:val="22"/>
          <w:szCs w:val="22"/>
        </w:rPr>
      </w:pPr>
      <w:r w:rsidRPr="007D513F">
        <w:rPr>
          <w:rFonts w:ascii="Arial" w:hAnsi="Arial" w:cs="Arial"/>
          <w:b/>
          <w:sz w:val="22"/>
          <w:szCs w:val="22"/>
        </w:rPr>
        <w:t xml:space="preserve">II/351 Třebíč – </w:t>
      </w:r>
      <w:proofErr w:type="gramStart"/>
      <w:r w:rsidRPr="007D513F">
        <w:rPr>
          <w:rFonts w:ascii="Arial" w:hAnsi="Arial" w:cs="Arial"/>
          <w:b/>
          <w:sz w:val="22"/>
          <w:szCs w:val="22"/>
        </w:rPr>
        <w:t>křiž. s II/399</w:t>
      </w:r>
      <w:proofErr w:type="gramEnd"/>
      <w:r w:rsidRPr="007D513F">
        <w:rPr>
          <w:rFonts w:ascii="Arial" w:hAnsi="Arial" w:cs="Arial"/>
          <w:b/>
          <w:sz w:val="22"/>
          <w:szCs w:val="22"/>
        </w:rPr>
        <w:t>, 2. část</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Pr>
          <w:rFonts w:ascii="Arial" w:eastAsia="MS Mincho" w:hAnsi="Arial" w:cs="Arial"/>
          <w:sz w:val="22"/>
          <w:szCs w:val="22"/>
        </w:rPr>
        <w:t>Ing. Martinem Kuklou</w:t>
      </w:r>
      <w:r w:rsidR="00E07212">
        <w:rPr>
          <w:rFonts w:ascii="Arial" w:eastAsia="MS Mincho" w:hAnsi="Arial" w:cs="Arial"/>
          <w:sz w:val="22"/>
          <w:szCs w:val="22"/>
        </w:rPr>
        <w:t xml:space="preserve">, </w:t>
      </w:r>
      <w:r w:rsidR="0016116B">
        <w:rPr>
          <w:rFonts w:ascii="Arial" w:eastAsia="MS Mincho" w:hAnsi="Arial" w:cs="Arial"/>
          <w:sz w:val="22"/>
          <w:szCs w:val="22"/>
        </w:rPr>
        <w:t>hejtmanem</w:t>
      </w:r>
    </w:p>
    <w:p w:rsidR="007430AF" w:rsidRPr="00C52E96" w:rsidRDefault="007430AF" w:rsidP="007430AF">
      <w:pPr>
        <w:ind w:left="2835" w:hanging="2835"/>
        <w:rPr>
          <w:rFonts w:ascii="Arial" w:eastAsia="MS Mincho" w:hAnsi="Arial" w:cs="Arial"/>
          <w:sz w:val="22"/>
          <w:szCs w:val="22"/>
        </w:rPr>
      </w:pPr>
      <w:r w:rsidRPr="00CF58B0">
        <w:rPr>
          <w:rFonts w:ascii="Arial" w:eastAsia="MS Mincho" w:hAnsi="Arial" w:cs="Arial"/>
          <w:sz w:val="22"/>
          <w:szCs w:val="22"/>
        </w:rPr>
        <w:t>k podpisu smlouvy pověřen:</w:t>
      </w:r>
      <w:r w:rsidRPr="00CF58B0">
        <w:rPr>
          <w:rFonts w:ascii="Arial" w:eastAsia="MS Mincho" w:hAnsi="Arial" w:cs="Arial"/>
          <w:sz w:val="22"/>
          <w:szCs w:val="22"/>
        </w:rPr>
        <w:tab/>
      </w:r>
      <w:r w:rsidRPr="00CF58B0">
        <w:rPr>
          <w:rFonts w:ascii="Arial" w:eastAsia="MS Mincho" w:hAnsi="Arial" w:cs="Arial"/>
          <w:sz w:val="22"/>
          <w:szCs w:val="22"/>
        </w:rPr>
        <w:tab/>
        <w:t xml:space="preserve">         </w:t>
      </w:r>
      <w:r w:rsidR="00D81E57" w:rsidRPr="00CF58B0">
        <w:rPr>
          <w:rFonts w:ascii="Arial" w:eastAsia="MS Mincho" w:hAnsi="Arial" w:cs="Arial"/>
          <w:sz w:val="22"/>
          <w:szCs w:val="22"/>
        </w:rPr>
        <w:t xml:space="preserve">Ing. Vladimír Novotný, </w:t>
      </w:r>
      <w:r w:rsidR="00CF58B0" w:rsidRPr="00CF58B0">
        <w:rPr>
          <w:rFonts w:ascii="Arial" w:eastAsia="MS Mincho" w:hAnsi="Arial" w:cs="Arial"/>
          <w:sz w:val="22"/>
          <w:szCs w:val="22"/>
        </w:rPr>
        <w:t xml:space="preserve">2. </w:t>
      </w:r>
      <w:r w:rsidR="00D81E57" w:rsidRPr="00CF58B0">
        <w:rPr>
          <w:rFonts w:ascii="Arial" w:eastAsia="MS Mincho" w:hAnsi="Arial" w:cs="Arial"/>
          <w:sz w:val="22"/>
          <w:szCs w:val="22"/>
        </w:rPr>
        <w:t>náměstek hejtmana</w:t>
      </w:r>
    </w:p>
    <w:p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Ing. Jiří Lojda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9229FA" w:rsidRDefault="00637C60" w:rsidP="007D513F">
      <w:pPr>
        <w:pStyle w:val="Zkladntextodsazen21"/>
        <w:numPr>
          <w:ilvl w:val="1"/>
          <w:numId w:val="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7D513F" w:rsidRPr="007D513F">
        <w:rPr>
          <w:rFonts w:ascii="Arial" w:hAnsi="Arial" w:cs="Arial"/>
          <w:b/>
          <w:sz w:val="22"/>
          <w:szCs w:val="22"/>
        </w:rPr>
        <w:t xml:space="preserve">II/351 Třebíč – </w:t>
      </w:r>
      <w:proofErr w:type="gramStart"/>
      <w:r w:rsidR="007D513F" w:rsidRPr="007D513F">
        <w:rPr>
          <w:rFonts w:ascii="Arial" w:hAnsi="Arial" w:cs="Arial"/>
          <w:b/>
          <w:sz w:val="22"/>
          <w:szCs w:val="22"/>
        </w:rPr>
        <w:t>křiž. s II/399</w:t>
      </w:r>
      <w:proofErr w:type="gramEnd"/>
      <w:r w:rsidR="007D513F" w:rsidRPr="007D513F">
        <w:rPr>
          <w:rFonts w:ascii="Arial" w:hAnsi="Arial" w:cs="Arial"/>
          <w:b/>
          <w:sz w:val="22"/>
          <w:szCs w:val="22"/>
        </w:rPr>
        <w:t>, 2. část</w:t>
      </w:r>
      <w:r w:rsidR="00C9452E" w:rsidRPr="000D42B2">
        <w:rPr>
          <w:rFonts w:ascii="Arial" w:hAnsi="Arial" w:cs="Arial"/>
          <w:sz w:val="22"/>
          <w:szCs w:val="22"/>
        </w:rPr>
        <w:t xml:space="preserve">, která bude realizována dle projektové dokumentace </w:t>
      </w:r>
      <w:r w:rsidR="007D513F" w:rsidRPr="007D513F">
        <w:rPr>
          <w:rFonts w:ascii="Arial" w:hAnsi="Arial" w:cs="Arial"/>
          <w:sz w:val="22"/>
          <w:szCs w:val="22"/>
        </w:rPr>
        <w:t xml:space="preserve">„II/351 Třebíč – křiž. s II/399, 2. část“ vypracované společností </w:t>
      </w:r>
      <w:proofErr w:type="spellStart"/>
      <w:r w:rsidR="007D513F" w:rsidRPr="007D513F">
        <w:rPr>
          <w:rFonts w:ascii="Arial" w:hAnsi="Arial" w:cs="Arial"/>
          <w:sz w:val="22"/>
          <w:szCs w:val="22"/>
        </w:rPr>
        <w:t>Sweco</w:t>
      </w:r>
      <w:proofErr w:type="spellEnd"/>
      <w:r w:rsidR="007D513F" w:rsidRPr="007D513F">
        <w:rPr>
          <w:rFonts w:ascii="Arial" w:hAnsi="Arial" w:cs="Arial"/>
          <w:sz w:val="22"/>
          <w:szCs w:val="22"/>
        </w:rPr>
        <w:t xml:space="preserve"> </w:t>
      </w:r>
      <w:proofErr w:type="spellStart"/>
      <w:r w:rsidR="007D513F" w:rsidRPr="007D513F">
        <w:rPr>
          <w:rFonts w:ascii="Arial" w:hAnsi="Arial" w:cs="Arial"/>
          <w:sz w:val="22"/>
          <w:szCs w:val="22"/>
        </w:rPr>
        <w:t>Hydroprojekt</w:t>
      </w:r>
      <w:proofErr w:type="spellEnd"/>
      <w:r w:rsidR="007D513F" w:rsidRPr="007D513F">
        <w:rPr>
          <w:rFonts w:ascii="Arial" w:hAnsi="Arial" w:cs="Arial"/>
          <w:sz w:val="22"/>
          <w:szCs w:val="22"/>
        </w:rPr>
        <w:t xml:space="preserve"> a.s., Táborská 31, 140 16 Praha 4, IČO  26475081 ve stupni DSP (11/2021) a ve </w:t>
      </w:r>
      <w:r w:rsidR="007D513F" w:rsidRPr="007D513F">
        <w:rPr>
          <w:rFonts w:ascii="Arial" w:hAnsi="Arial" w:cs="Arial"/>
          <w:sz w:val="22"/>
          <w:szCs w:val="22"/>
        </w:rPr>
        <w:lastRenderedPageBreak/>
        <w:t>stupni PDPS (8/2022), vč. pozdějšího doplnění a aktualizace rozpočtu a platného stavebního povolení v právní moci.</w:t>
      </w:r>
    </w:p>
    <w:p w:rsidR="00365FF5" w:rsidRDefault="00365FF5" w:rsidP="00365FF5">
      <w:pPr>
        <w:jc w:val="both"/>
        <w:rPr>
          <w:rFonts w:ascii="Arial" w:hAnsi="Arial" w:cs="Arial"/>
          <w:sz w:val="22"/>
          <w:szCs w:val="22"/>
        </w:rPr>
      </w:pPr>
    </w:p>
    <w:p w:rsidR="009C062E" w:rsidRDefault="00365FF5" w:rsidP="00CF102C">
      <w:pPr>
        <w:pStyle w:val="Zkladntextodsazen21"/>
        <w:numPr>
          <w:ilvl w:val="1"/>
          <w:numId w:val="9"/>
        </w:numPr>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rsidR="00365FF5" w:rsidRDefault="00365FF5" w:rsidP="00365FF5">
      <w:pPr>
        <w:jc w:val="both"/>
        <w:rPr>
          <w:rFonts w:ascii="Arial" w:hAnsi="Arial" w:cs="Arial"/>
          <w:sz w:val="22"/>
          <w:szCs w:val="22"/>
        </w:rPr>
      </w:pP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lastRenderedPageBreak/>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FD0230" w:rsidRDefault="00FD0230"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560937" w:rsidRDefault="00560937" w:rsidP="00560937">
      <w:pPr>
        <w:pStyle w:val="Bntext2"/>
        <w:ind w:left="0"/>
        <w:rPr>
          <w:rFonts w:cs="Arial"/>
          <w:szCs w:val="22"/>
        </w:rPr>
      </w:pPr>
    </w:p>
    <w:p w:rsidR="00560937" w:rsidRDefault="00560937" w:rsidP="00560937">
      <w:pPr>
        <w:pStyle w:val="Bntext2"/>
        <w:ind w:left="0"/>
        <w:rPr>
          <w:rFonts w:cs="Arial"/>
          <w:szCs w:val="22"/>
        </w:rPr>
      </w:pPr>
    </w:p>
    <w:p w:rsidR="00560937" w:rsidRPr="005C1B65" w:rsidRDefault="00560937" w:rsidP="00560937">
      <w:pPr>
        <w:pStyle w:val="Bntext2"/>
        <w:ind w:left="0"/>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lastRenderedPageBreak/>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7D513F">
        <w:rPr>
          <w:rFonts w:ascii="Arial" w:hAnsi="Arial" w:cs="Arial"/>
          <w:b w:val="0"/>
          <w:bCs w:val="0"/>
          <w:sz w:val="22"/>
          <w:szCs w:val="22"/>
        </w:rPr>
        <w:tab/>
      </w:r>
      <w:r w:rsidR="007D513F">
        <w:rPr>
          <w:rFonts w:ascii="Arial" w:hAnsi="Arial" w:cs="Arial"/>
          <w:b w:val="0"/>
          <w:bCs w:val="0"/>
          <w:sz w:val="22"/>
          <w:szCs w:val="22"/>
        </w:rPr>
        <w:tab/>
      </w:r>
      <w:r w:rsidRPr="004D00AA">
        <w:rPr>
          <w:rFonts w:ascii="Arial" w:hAnsi="Arial" w:cs="Arial"/>
          <w:b w:val="0"/>
          <w:bCs w:val="0"/>
          <w:sz w:val="22"/>
          <w:szCs w:val="22"/>
          <w:lang w:val="cs-CZ"/>
        </w:rPr>
        <w:t>0</w:t>
      </w:r>
      <w:r w:rsidR="007D513F">
        <w:rPr>
          <w:rFonts w:ascii="Arial" w:hAnsi="Arial" w:cs="Arial"/>
          <w:b w:val="0"/>
          <w:bCs w:val="0"/>
          <w:sz w:val="22"/>
          <w:szCs w:val="22"/>
          <w:lang w:val="cs-CZ"/>
        </w:rPr>
        <w:t>4</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rsidR="007D513F" w:rsidRDefault="007D513F" w:rsidP="007D513F">
      <w:pPr>
        <w:pStyle w:val="Nzev"/>
        <w:spacing w:line="288" w:lineRule="auto"/>
        <w:ind w:left="6804" w:hanging="6798"/>
        <w:jc w:val="left"/>
        <w:rPr>
          <w:rFonts w:ascii="Arial" w:hAnsi="Arial" w:cs="Arial"/>
          <w:b w:val="0"/>
          <w:sz w:val="22"/>
          <w:szCs w:val="22"/>
          <w:lang w:val="cs-CZ"/>
        </w:rPr>
      </w:pPr>
      <w:r w:rsidRPr="008124AB">
        <w:rPr>
          <w:rFonts w:ascii="Arial" w:hAnsi="Arial" w:cs="Arial"/>
          <w:b w:val="0"/>
          <w:sz w:val="22"/>
          <w:szCs w:val="22"/>
        </w:rPr>
        <w:t>Uvedení stavby do předčasného užívání</w:t>
      </w:r>
      <w:r>
        <w:rPr>
          <w:rFonts w:ascii="Arial" w:hAnsi="Arial" w:cs="Arial"/>
          <w:b w:val="0"/>
          <w:sz w:val="22"/>
          <w:szCs w:val="22"/>
          <w:lang w:val="cs-CZ"/>
        </w:rPr>
        <w:t>:</w:t>
      </w:r>
    </w:p>
    <w:p w:rsidR="007D513F" w:rsidRDefault="007D513F" w:rsidP="007D513F">
      <w:pPr>
        <w:pStyle w:val="Nzev"/>
        <w:numPr>
          <w:ilvl w:val="0"/>
          <w:numId w:val="14"/>
        </w:numPr>
        <w:spacing w:line="288" w:lineRule="auto"/>
        <w:jc w:val="left"/>
        <w:rPr>
          <w:rFonts w:ascii="Arial" w:hAnsi="Arial" w:cs="Arial"/>
          <w:b w:val="0"/>
          <w:bCs w:val="0"/>
          <w:sz w:val="22"/>
          <w:szCs w:val="22"/>
          <w:lang w:val="cs-CZ"/>
        </w:rPr>
      </w:pPr>
      <w:r>
        <w:rPr>
          <w:rFonts w:ascii="Arial" w:hAnsi="Arial" w:cs="Arial"/>
          <w:b w:val="0"/>
          <w:sz w:val="22"/>
          <w:szCs w:val="22"/>
          <w:lang w:val="cs-CZ"/>
        </w:rPr>
        <w:t>Zajištění rozhodnutí o uvedení stavby do předčasného užívání</w:t>
      </w:r>
      <w:r>
        <w:rPr>
          <w:rFonts w:ascii="Arial" w:hAnsi="Arial" w:cs="Arial"/>
          <w:b w:val="0"/>
          <w:sz w:val="22"/>
          <w:szCs w:val="22"/>
          <w:lang w:val="cs-CZ"/>
        </w:rPr>
        <w:tab/>
      </w:r>
      <w:r>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w:t>
      </w:r>
      <w:r>
        <w:rPr>
          <w:rFonts w:ascii="Arial" w:hAnsi="Arial" w:cs="Arial"/>
          <w:b w:val="0"/>
          <w:bCs w:val="0"/>
          <w:sz w:val="22"/>
          <w:szCs w:val="22"/>
          <w:lang w:val="cs-CZ"/>
        </w:rPr>
        <w:t xml:space="preserve"> 10</w:t>
      </w:r>
      <w:r w:rsidRPr="00B57C09">
        <w:rPr>
          <w:rFonts w:ascii="Arial" w:hAnsi="Arial" w:cs="Arial"/>
          <w:b w:val="0"/>
          <w:bCs w:val="0"/>
          <w:sz w:val="22"/>
          <w:szCs w:val="22"/>
        </w:rPr>
        <w:t>. 20</w:t>
      </w:r>
      <w:r>
        <w:rPr>
          <w:rFonts w:ascii="Arial" w:hAnsi="Arial" w:cs="Arial"/>
          <w:b w:val="0"/>
          <w:bCs w:val="0"/>
          <w:sz w:val="22"/>
          <w:szCs w:val="22"/>
          <w:lang w:val="cs-CZ"/>
        </w:rPr>
        <w:t>25</w:t>
      </w:r>
    </w:p>
    <w:p w:rsidR="007D513F" w:rsidRDefault="007D513F" w:rsidP="007D513F">
      <w:pPr>
        <w:pStyle w:val="Nzev"/>
        <w:numPr>
          <w:ilvl w:val="0"/>
          <w:numId w:val="14"/>
        </w:numPr>
        <w:spacing w:line="288" w:lineRule="auto"/>
        <w:jc w:val="left"/>
        <w:rPr>
          <w:rFonts w:ascii="Arial" w:hAnsi="Arial" w:cs="Arial"/>
          <w:b w:val="0"/>
          <w:bCs w:val="0"/>
          <w:sz w:val="22"/>
          <w:szCs w:val="22"/>
          <w:lang w:val="cs-CZ"/>
        </w:rPr>
      </w:pPr>
      <w:r>
        <w:rPr>
          <w:rFonts w:ascii="Arial" w:hAnsi="Arial" w:cs="Arial"/>
          <w:b w:val="0"/>
          <w:bCs w:val="0"/>
          <w:sz w:val="22"/>
          <w:szCs w:val="22"/>
          <w:lang w:val="cs-CZ"/>
        </w:rPr>
        <w:t>Obnovení provozu na silnici II/351 v úseku stavby nejpozději</w:t>
      </w:r>
      <w:r>
        <w:rPr>
          <w:rFonts w:ascii="Arial" w:hAnsi="Arial" w:cs="Arial"/>
          <w:b w:val="0"/>
          <w:bCs w:val="0"/>
          <w:sz w:val="22"/>
          <w:szCs w:val="22"/>
          <w:lang w:val="cs-CZ"/>
        </w:rPr>
        <w:tab/>
      </w:r>
      <w:r>
        <w:rPr>
          <w:rFonts w:ascii="Arial" w:hAnsi="Arial" w:cs="Arial"/>
          <w:b w:val="0"/>
          <w:bCs w:val="0"/>
          <w:sz w:val="22"/>
          <w:szCs w:val="22"/>
          <w:lang w:val="cs-CZ"/>
        </w:rPr>
        <w:tab/>
        <w:t>od 01. 11. 2025</w:t>
      </w:r>
    </w:p>
    <w:p w:rsidR="00DA106F" w:rsidRPr="004D00AA"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r>
      <w:r w:rsidR="007D513F">
        <w:rPr>
          <w:rFonts w:ascii="Arial" w:hAnsi="Arial" w:cs="Arial"/>
          <w:b w:val="0"/>
          <w:sz w:val="22"/>
          <w:szCs w:val="22"/>
        </w:rPr>
        <w:tab/>
      </w:r>
      <w:r w:rsidR="007D513F">
        <w:rPr>
          <w:rFonts w:ascii="Arial" w:hAnsi="Arial" w:cs="Arial"/>
          <w:b w:val="0"/>
          <w:sz w:val="22"/>
          <w:szCs w:val="22"/>
        </w:rPr>
        <w:tab/>
      </w:r>
      <w:r w:rsidRPr="004D00AA">
        <w:rPr>
          <w:rFonts w:ascii="Arial" w:hAnsi="Arial" w:cs="Arial"/>
          <w:b w:val="0"/>
          <w:sz w:val="22"/>
          <w:szCs w:val="22"/>
        </w:rPr>
        <w:t>do 30. 0</w:t>
      </w:r>
      <w:r w:rsidR="007D513F">
        <w:rPr>
          <w:rFonts w:ascii="Arial" w:hAnsi="Arial" w:cs="Arial"/>
          <w:b w:val="0"/>
          <w:sz w:val="22"/>
          <w:szCs w:val="22"/>
          <w:lang w:val="cs-CZ"/>
        </w:rPr>
        <w:t>6</w:t>
      </w:r>
      <w:r w:rsidRPr="004D00AA">
        <w:rPr>
          <w:rFonts w:ascii="Arial" w:hAnsi="Arial" w:cs="Arial"/>
          <w:b w:val="0"/>
          <w:sz w:val="22"/>
          <w:szCs w:val="22"/>
        </w:rPr>
        <w:t>. 202</w:t>
      </w:r>
      <w:r w:rsidR="004D00AA" w:rsidRPr="004D00AA">
        <w:rPr>
          <w:rFonts w:ascii="Arial" w:hAnsi="Arial" w:cs="Arial"/>
          <w:b w:val="0"/>
          <w:sz w:val="22"/>
          <w:szCs w:val="22"/>
          <w:lang w:val="cs-CZ"/>
        </w:rPr>
        <w:t>6</w:t>
      </w:r>
    </w:p>
    <w:p w:rsidR="00103830" w:rsidRDefault="00103830" w:rsidP="00DA106F">
      <w:pPr>
        <w:pStyle w:val="Nzev"/>
        <w:spacing w:line="288" w:lineRule="auto"/>
        <w:ind w:left="6804" w:hanging="6798"/>
        <w:jc w:val="left"/>
        <w:rPr>
          <w:rFonts w:ascii="Arial" w:hAnsi="Arial" w:cs="Arial"/>
          <w:b w:val="0"/>
          <w:sz w:val="22"/>
          <w:szCs w:val="22"/>
        </w:rPr>
      </w:pPr>
    </w:p>
    <w:p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2A5CCC" w:rsidRDefault="002A5CCC"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560937">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560937">
        <w:rPr>
          <w:rFonts w:ascii="Arial" w:hAnsi="Arial" w:cs="Arial"/>
          <w:sz w:val="22"/>
          <w:szCs w:val="22"/>
        </w:rPr>
        <w:t xml:space="preserve"> </w:t>
      </w:r>
      <w:r w:rsidR="00924FDB" w:rsidRPr="00A05141">
        <w:rPr>
          <w:rFonts w:ascii="Arial" w:hAnsi="Arial"/>
          <w:b/>
          <w:sz w:val="22"/>
        </w:rPr>
        <w:t>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95"/>
        <w:gridCol w:w="1628"/>
        <w:gridCol w:w="1627"/>
        <w:gridCol w:w="1464"/>
        <w:gridCol w:w="174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3B7F43" w:rsidP="00776CDD">
            <w:pPr>
              <w:jc w:val="center"/>
              <w:rPr>
                <w:rFonts w:ascii="Arial" w:hAnsi="Arial" w:cs="Arial"/>
                <w:bCs/>
              </w:rPr>
            </w:pPr>
            <w:r w:rsidRPr="00C92A09">
              <w:rPr>
                <w:rFonts w:ascii="Arial" w:hAnsi="Arial" w:cs="Arial"/>
                <w:bCs/>
              </w:rPr>
              <w:t>1</w:t>
            </w:r>
            <w:r w:rsidR="00776CDD">
              <w:rPr>
                <w:rFonts w:ascii="Arial" w:hAnsi="Arial" w:cs="Arial"/>
                <w:bCs/>
              </w:rPr>
              <w:t>5</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7248A0" w:rsidRDefault="005C477F" w:rsidP="00C26272">
      <w:pPr>
        <w:pStyle w:val="Zkladntextodsazen"/>
        <w:numPr>
          <w:ilvl w:val="1"/>
          <w:numId w:val="5"/>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26272">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C26272" w:rsidRPr="00C26272">
        <w:rPr>
          <w:rFonts w:ascii="Arial" w:hAnsi="Arial" w:cs="Arial"/>
          <w:sz w:val="22"/>
          <w:szCs w:val="22"/>
        </w:rPr>
        <w:t xml:space="preserve">II/351 Třebíč – </w:t>
      </w:r>
      <w:proofErr w:type="gramStart"/>
      <w:r w:rsidR="00C26272" w:rsidRPr="00C26272">
        <w:rPr>
          <w:rFonts w:ascii="Arial" w:hAnsi="Arial" w:cs="Arial"/>
          <w:sz w:val="22"/>
          <w:szCs w:val="22"/>
        </w:rPr>
        <w:t>křiž. s II/399</w:t>
      </w:r>
      <w:proofErr w:type="gramEnd"/>
      <w:r w:rsidR="00C26272" w:rsidRPr="00C26272">
        <w:rPr>
          <w:rFonts w:ascii="Arial" w:hAnsi="Arial" w:cs="Arial"/>
          <w:sz w:val="22"/>
          <w:szCs w:val="22"/>
        </w:rPr>
        <w:t>, 2. část</w:t>
      </w:r>
      <w:r w:rsidR="00DD68C7" w:rsidRPr="00C26272">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C26272" w:rsidRDefault="00C26272" w:rsidP="00C26272">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C26272" w:rsidRPr="005C1B65" w:rsidRDefault="00C26272"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FC7DD7">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w:t>
      </w:r>
      <w:r w:rsidR="00D93186" w:rsidRPr="008B32D7">
        <w:rPr>
          <w:rFonts w:ascii="Arial" w:hAnsi="Arial" w:cs="Arial"/>
          <w:sz w:val="22"/>
          <w:szCs w:val="22"/>
        </w:rPr>
        <w:t xml:space="preserve">     </w:t>
      </w:r>
      <w:r w:rsidR="002565D6" w:rsidRPr="008B32D7">
        <w:rPr>
          <w:rFonts w:ascii="Arial" w:hAnsi="Arial" w:cs="Arial"/>
          <w:sz w:val="22"/>
          <w:szCs w:val="22"/>
        </w:rPr>
        <w:t>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Default="00F913F3" w:rsidP="00CF102C">
      <w:pPr>
        <w:pStyle w:val="Zkladntextodsazen"/>
        <w:numPr>
          <w:ilvl w:val="1"/>
          <w:numId w:val="13"/>
        </w:numPr>
        <w:tabs>
          <w:tab w:val="left" w:pos="567"/>
        </w:tabs>
        <w:spacing w:after="120"/>
        <w:jc w:val="both"/>
        <w:rPr>
          <w:rFonts w:ascii="Arial" w:hAnsi="Arial" w:cs="Arial"/>
          <w:sz w:val="22"/>
          <w:szCs w:val="22"/>
        </w:rPr>
      </w:pPr>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29. 6. 2021.</w:t>
      </w:r>
    </w:p>
    <w:p w:rsidR="00FC7DD7" w:rsidRDefault="00FC7DD7" w:rsidP="00FC7DD7">
      <w:pPr>
        <w:pStyle w:val="Zkladntextodsazen"/>
        <w:tabs>
          <w:tab w:val="left" w:pos="567"/>
        </w:tabs>
        <w:spacing w:after="120"/>
        <w:jc w:val="both"/>
        <w:rPr>
          <w:rFonts w:ascii="Arial" w:hAnsi="Arial" w:cs="Arial"/>
          <w:sz w:val="22"/>
          <w:szCs w:val="22"/>
        </w:rPr>
      </w:pPr>
    </w:p>
    <w:p w:rsidR="00FC7DD7" w:rsidRDefault="00FC7DD7" w:rsidP="00FC7DD7">
      <w:pPr>
        <w:pStyle w:val="Zkladntextodsazen"/>
        <w:tabs>
          <w:tab w:val="left" w:pos="567"/>
        </w:tabs>
        <w:spacing w:after="120"/>
        <w:jc w:val="both"/>
        <w:rPr>
          <w:rFonts w:ascii="Arial" w:hAnsi="Arial" w:cs="Arial"/>
          <w:sz w:val="22"/>
          <w:szCs w:val="22"/>
        </w:rPr>
      </w:pPr>
    </w:p>
    <w:p w:rsidR="00FC7DD7" w:rsidRDefault="00FC7DD7" w:rsidP="00FC7DD7">
      <w:pPr>
        <w:pStyle w:val="Zkladntextodsazen"/>
        <w:tabs>
          <w:tab w:val="left" w:pos="567"/>
        </w:tabs>
        <w:spacing w:after="120"/>
        <w:jc w:val="both"/>
        <w:rPr>
          <w:rFonts w:ascii="Arial" w:hAnsi="Arial" w:cs="Arial"/>
          <w:sz w:val="22"/>
          <w:szCs w:val="22"/>
        </w:rPr>
      </w:pPr>
    </w:p>
    <w:p w:rsidR="00FC7DD7" w:rsidRPr="008B32D7" w:rsidRDefault="00FC7DD7" w:rsidP="00FC7DD7">
      <w:pPr>
        <w:pStyle w:val="Zkladntextodsazen"/>
        <w:tabs>
          <w:tab w:val="left" w:pos="567"/>
        </w:tabs>
        <w:spacing w:after="120"/>
        <w:jc w:val="both"/>
        <w:rPr>
          <w:rFonts w:ascii="Arial" w:hAnsi="Arial" w:cs="Arial"/>
          <w:sz w:val="22"/>
          <w:szCs w:val="22"/>
        </w:rPr>
      </w:pP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lastRenderedPageBreak/>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rsidR="006C6A84" w:rsidRDefault="006C6A84"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F2059F" w:rsidRPr="005C3AE9" w:rsidRDefault="00390923" w:rsidP="005229BF">
      <w:pPr>
        <w:pStyle w:val="Zkladntextodsazen"/>
        <w:jc w:val="both"/>
        <w:rPr>
          <w:rFonts w:ascii="Arial" w:hAnsi="Arial"/>
          <w:sz w:val="22"/>
        </w:rPr>
      </w:pPr>
      <w:bookmarkStart w:id="0" w:name="_GoBack"/>
      <w:bookmarkEnd w:id="0"/>
      <w:r w:rsidRPr="005C3AE9">
        <w:rPr>
          <w:rFonts w:ascii="Arial" w:hAnsi="Arial"/>
          <w:sz w:val="22"/>
        </w:rPr>
        <w:t xml:space="preserve">Ing. </w:t>
      </w:r>
      <w:r w:rsidR="00C26272" w:rsidRPr="005C3AE9">
        <w:rPr>
          <w:rFonts w:ascii="Arial" w:hAnsi="Arial"/>
          <w:sz w:val="22"/>
        </w:rPr>
        <w:t>Vladimír Novotný</w:t>
      </w:r>
    </w:p>
    <w:p w:rsidR="00E07212" w:rsidRPr="005C1B65" w:rsidRDefault="005C3AE9" w:rsidP="005229BF">
      <w:pPr>
        <w:pStyle w:val="Zkladntextodsazen"/>
        <w:jc w:val="both"/>
        <w:rPr>
          <w:rFonts w:ascii="Arial" w:hAnsi="Arial" w:cs="Arial"/>
          <w:b/>
          <w:sz w:val="22"/>
          <w:szCs w:val="22"/>
        </w:rPr>
      </w:pPr>
      <w:r w:rsidRPr="005C3AE9">
        <w:rPr>
          <w:rFonts w:ascii="Arial" w:hAnsi="Arial"/>
          <w:sz w:val="22"/>
        </w:rPr>
        <w:t xml:space="preserve">2. </w:t>
      </w:r>
      <w:r w:rsidR="00390923" w:rsidRPr="005C3AE9">
        <w:rPr>
          <w:rFonts w:ascii="Arial" w:hAnsi="Arial"/>
          <w:sz w:val="22"/>
        </w:rPr>
        <w:t xml:space="preserve">náměstek </w:t>
      </w:r>
      <w:r w:rsidR="00E07212" w:rsidRPr="005C3AE9">
        <w:rPr>
          <w:rFonts w:ascii="Arial" w:hAnsi="Arial"/>
          <w:sz w:val="22"/>
        </w:rPr>
        <w:t>hejtman</w:t>
      </w:r>
      <w:r w:rsidR="00390923" w:rsidRPr="005C3AE9">
        <w:rPr>
          <w:rFonts w:ascii="Arial" w:hAnsi="Arial"/>
          <w:sz w:val="22"/>
        </w:rPr>
        <w:t>a</w:t>
      </w:r>
    </w:p>
    <w:sectPr w:rsidR="00E07212" w:rsidRPr="005C1B65" w:rsidSect="003824EA">
      <w:footerReference w:type="default" r:id="rId7"/>
      <w:headerReference w:type="first" r:id="rId8"/>
      <w:footnotePr>
        <w:pos w:val="beneathText"/>
      </w:footnotePr>
      <w:pgSz w:w="12240" w:h="15840"/>
      <w:pgMar w:top="1304" w:right="1077" w:bottom="124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C3AE9">
      <w:rPr>
        <w:rFonts w:ascii="Arial" w:hAnsi="Arial" w:cs="Arial"/>
        <w:noProof/>
        <w:sz w:val="16"/>
        <w:szCs w:val="16"/>
      </w:rPr>
      <w:t>6</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C3AE9">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4"/>
  </w:num>
  <w:num w:numId="8">
    <w:abstractNumId w:val="27"/>
  </w:num>
  <w:num w:numId="9">
    <w:abstractNumId w:val="23"/>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20"/>
  </w:num>
  <w:num w:numId="11">
    <w:abstractNumId w:val="16"/>
  </w:num>
  <w:num w:numId="12">
    <w:abstractNumId w:val="15"/>
  </w:num>
  <w:num w:numId="13">
    <w:abstractNumId w:val="20"/>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79DC"/>
    <w:rsid w:val="00367AA0"/>
    <w:rsid w:val="003703E5"/>
    <w:rsid w:val="00371EB5"/>
    <w:rsid w:val="0037462F"/>
    <w:rsid w:val="003824EA"/>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004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0937"/>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3AE9"/>
    <w:rsid w:val="005C477F"/>
    <w:rsid w:val="005C6CDD"/>
    <w:rsid w:val="005D3DF3"/>
    <w:rsid w:val="005E0A7F"/>
    <w:rsid w:val="005E50B1"/>
    <w:rsid w:val="005E56EC"/>
    <w:rsid w:val="005F142A"/>
    <w:rsid w:val="005F3404"/>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0F9D"/>
    <w:rsid w:val="00773DF1"/>
    <w:rsid w:val="00775D83"/>
    <w:rsid w:val="00776CDD"/>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513F"/>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45C17"/>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272"/>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E7734"/>
    <w:rsid w:val="00CF102C"/>
    <w:rsid w:val="00CF1238"/>
    <w:rsid w:val="00CF380D"/>
    <w:rsid w:val="00CF58B0"/>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13F3"/>
    <w:rsid w:val="00FA093A"/>
    <w:rsid w:val="00FA5224"/>
    <w:rsid w:val="00FB51C9"/>
    <w:rsid w:val="00FB6F68"/>
    <w:rsid w:val="00FB7B68"/>
    <w:rsid w:val="00FC1583"/>
    <w:rsid w:val="00FC7DD7"/>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765041"/>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2971</Words>
  <Characters>17531</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29</cp:revision>
  <cp:lastPrinted>2019-03-19T09:54:00Z</cp:lastPrinted>
  <dcterms:created xsi:type="dcterms:W3CDTF">2024-08-20T08:57:00Z</dcterms:created>
  <dcterms:modified xsi:type="dcterms:W3CDTF">2025-01-02T12:04:00Z</dcterms:modified>
</cp:coreProperties>
</file>